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FB" w:rsidRDefault="008040FB">
      <w:pPr>
        <w:pStyle w:val="newncpi0"/>
        <w:jc w:val="center"/>
      </w:pPr>
      <w:bookmarkStart w:id="0" w:name="_GoBack"/>
      <w:bookmarkEnd w:id="0"/>
      <w:r>
        <w:rPr>
          <w:rStyle w:val="name"/>
        </w:rPr>
        <w:t>ЗАКОН РЕСПУБЛИКИ БЕЛАРУСЬ</w:t>
      </w:r>
    </w:p>
    <w:p w:rsidR="008040FB" w:rsidRDefault="008040FB">
      <w:pPr>
        <w:pStyle w:val="newncpi"/>
        <w:ind w:firstLine="0"/>
        <w:jc w:val="center"/>
      </w:pPr>
      <w:r>
        <w:rPr>
          <w:rStyle w:val="datepr"/>
        </w:rPr>
        <w:t>9 ноября 1999 г.</w:t>
      </w:r>
      <w:r>
        <w:rPr>
          <w:rStyle w:val="number"/>
        </w:rPr>
        <w:t xml:space="preserve"> № 305-З</w:t>
      </w:r>
    </w:p>
    <w:p w:rsidR="008040FB" w:rsidRDefault="008040FB">
      <w:pPr>
        <w:pStyle w:val="title"/>
      </w:pPr>
      <w:r>
        <w:t>О государственной поддержке молодежных и детских общественных объединений в Республике Беларусь</w:t>
      </w:r>
    </w:p>
    <w:p w:rsidR="008040FB" w:rsidRDefault="008040FB">
      <w:pPr>
        <w:pStyle w:val="prinodobren"/>
      </w:pPr>
      <w:r>
        <w:t>Принят Палатой представителей 5 октября 1999 года</w:t>
      </w:r>
      <w:r>
        <w:br/>
        <w:t>Одобрен Советом Республики 28 октября 1999 года</w:t>
      </w:r>
    </w:p>
    <w:p w:rsidR="008040FB" w:rsidRDefault="008040FB">
      <w:pPr>
        <w:pStyle w:val="chapter"/>
      </w:pPr>
      <w:r>
        <w:t>ГЛАВА 1</w:t>
      </w:r>
      <w:r>
        <w:br/>
        <w:t>ОБЩИЕ ПОЛОЖЕНИЯ</w:t>
      </w:r>
    </w:p>
    <w:p w:rsidR="008040FB" w:rsidRDefault="008040FB">
      <w:pPr>
        <w:pStyle w:val="article"/>
      </w:pPr>
      <w:r>
        <w:t>Статья 1. Отношения, регулируемые настоящим Законом</w:t>
      </w:r>
    </w:p>
    <w:p w:rsidR="008040FB" w:rsidRDefault="008040FB">
      <w:pPr>
        <w:pStyle w:val="newncpi"/>
      </w:pPr>
      <w:r>
        <w:t>Настоящий Закон определяет гарантии, общие принципы, содержание и меры государственной поддержки молодежных и детских общественных объединений, ассоциаций (союзов) молодежных и (или) детских объединений в Республике Беларусь (далее – молодежные и детские объединения) на республиканском и местных уровнях в объеме целевого финансирования из средств республиканского и местных бюджетов и государственных внебюджетных фондов Республики Беларусь, предусматриваемых на эти цели.</w:t>
      </w:r>
    </w:p>
    <w:p w:rsidR="008040FB" w:rsidRDefault="008040FB">
      <w:pPr>
        <w:pStyle w:val="newncpi"/>
      </w:pPr>
      <w:r>
        <w:t>Действие настоящего Закона не распространяется на:</w:t>
      </w:r>
    </w:p>
    <w:p w:rsidR="008040FB" w:rsidRDefault="008040FB">
      <w:pPr>
        <w:pStyle w:val="newncpi"/>
      </w:pPr>
      <w:r>
        <w:t>молодежные и детские религиозные организации;</w:t>
      </w:r>
    </w:p>
    <w:p w:rsidR="008040FB" w:rsidRDefault="008040FB">
      <w:pPr>
        <w:pStyle w:val="newncpi"/>
      </w:pPr>
      <w:r>
        <w:t>молодежные и студенческие объединения, являющиеся профессиональными союзами.</w:t>
      </w:r>
    </w:p>
    <w:p w:rsidR="008040FB" w:rsidRDefault="008040FB">
      <w:pPr>
        <w:pStyle w:val="article"/>
      </w:pPr>
      <w:r>
        <w:t>Статья 2. Законодательство Республики Беларусь о государственной поддержке молодежных и детских объединений</w:t>
      </w:r>
    </w:p>
    <w:p w:rsidR="008040FB" w:rsidRDefault="008040FB">
      <w:pPr>
        <w:pStyle w:val="newncpi"/>
      </w:pPr>
      <w:r>
        <w:t>Законодательство Республики Беларусь о государственной поддержке молодежных и детских объединений состоит из настоящего Закона и иных актов законодательства Республики Беларусь.</w:t>
      </w:r>
    </w:p>
    <w:p w:rsidR="008040FB" w:rsidRDefault="008040FB">
      <w:pPr>
        <w:pStyle w:val="article"/>
      </w:pPr>
      <w:r>
        <w:t>Статья 3. Понятие государственной поддержки молодежных и детских объединений</w:t>
      </w:r>
    </w:p>
    <w:p w:rsidR="008040FB" w:rsidRDefault="008040FB">
      <w:pPr>
        <w:pStyle w:val="newncpi"/>
      </w:pPr>
      <w:r>
        <w:t>Под государственной поддержкой молодежных и детских объединений понимается совокупность мер, принимаемых Президентом Республики Беларусь и государственными органами в соответствии с законодательством Республики Беларусь в области государственной молодежной политики в целях создания и обеспечения правовых, экономических и организационных условий, гарантий и стимулов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 их прав.</w:t>
      </w:r>
    </w:p>
    <w:p w:rsidR="008040FB" w:rsidRDefault="008040FB">
      <w:pPr>
        <w:pStyle w:val="article"/>
      </w:pPr>
      <w:r>
        <w:t>Статья 4. Принципы государственной поддержки молодежных и детских объединений</w:t>
      </w:r>
    </w:p>
    <w:p w:rsidR="008040FB" w:rsidRDefault="008040FB">
      <w:pPr>
        <w:pStyle w:val="newncpi"/>
      </w:pPr>
      <w:r>
        <w:t>Государственная поддержка молодежных и детских объединений осуществляется исходя из основных направлений государственной молодежной политики в соответствии с принципами:</w:t>
      </w:r>
    </w:p>
    <w:p w:rsidR="008040FB" w:rsidRDefault="008040FB">
      <w:pPr>
        <w:pStyle w:val="newncpi"/>
      </w:pPr>
      <w:r>
        <w:t>приоритета общих гуманистических и патриотических ценностей в деятельности молодежных и детских объединений;</w:t>
      </w:r>
    </w:p>
    <w:p w:rsidR="008040FB" w:rsidRDefault="008040FB">
      <w:pPr>
        <w:pStyle w:val="newncpi"/>
      </w:pPr>
      <w:r>
        <w:lastRenderedPageBreak/>
        <w:t>равенства прав на государственную поддержку молодежных и детских объединений, отвечающих требованиям настоящего Закона;</w:t>
      </w:r>
    </w:p>
    <w:p w:rsidR="008040FB" w:rsidRDefault="008040FB">
      <w:pPr>
        <w:pStyle w:val="newncpi"/>
      </w:pPr>
      <w:r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:rsidR="008040FB" w:rsidRDefault="008040FB">
      <w:pPr>
        <w:pStyle w:val="newncpi"/>
      </w:pPr>
      <w:r>
        <w:t>гласности в оказании государственной поддержки.</w:t>
      </w:r>
    </w:p>
    <w:p w:rsidR="008040FB" w:rsidRDefault="008040FB">
      <w:pPr>
        <w:pStyle w:val="newncpi"/>
      </w:pPr>
      <w:r>
        <w:t>Меры государственной поддержки молодежных и детских объединений не могут быть использованы республиканскими органами государственного управления, местными исполнительными и распорядительными органами,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 w:rsidR="008040FB" w:rsidRDefault="008040FB">
      <w:pPr>
        <w:pStyle w:val="article"/>
      </w:pPr>
      <w:r>
        <w:t>Статья 5. Молодежные и детские объединения, являющиеся субъектами государственной поддержки</w:t>
      </w:r>
    </w:p>
    <w:p w:rsidR="008040FB" w:rsidRDefault="008040FB">
      <w:pPr>
        <w:pStyle w:val="newncpi"/>
      </w:pPr>
      <w:r>
        <w:t>Государственная поддержка в соответствии с настоящим Законом оказывается зарегистрированным в установленном порядке и обратившимся за такой поддержкой в республиканские органы государственного управления, местные исполнительные и распорядительные органы:</w:t>
      </w:r>
    </w:p>
    <w:p w:rsidR="008040FB" w:rsidRDefault="008040FB">
      <w:pPr>
        <w:pStyle w:val="newncpi"/>
      </w:pPr>
      <w:r>
        <w:t>молодежным объединениям граждан в возрасте до тридцати одного года (не менее двух третей от общего числа членов) и детским объединениям граждан в возрасте до восемнадцати лет (не менее двух третей от общего числа членов), которые выражают их специфические интересы и уставная деятельность которых направлена на обеспечение социального становления и развития детей и молодежи;</w:t>
      </w:r>
    </w:p>
    <w:p w:rsidR="008040FB" w:rsidRDefault="008040FB">
      <w:pPr>
        <w:pStyle w:val="newncpi"/>
      </w:pPr>
      <w:r>
        <w:t>ассоциациям (союзам) молодежных и (или) детских объединений.</w:t>
      </w:r>
    </w:p>
    <w:p w:rsidR="008040FB" w:rsidRDefault="008040FB">
      <w:pPr>
        <w:pStyle w:val="newncpi"/>
      </w:pPr>
      <w:r>
        <w:t>Государственная поддержка международных, республиканских и местных молодежных и детских объединений осуществляется при соблюдении ими следующих условий, если:</w:t>
      </w:r>
    </w:p>
    <w:p w:rsidR="008040FB" w:rsidRDefault="008040FB">
      <w:pPr>
        <w:pStyle w:val="newncpi"/>
      </w:pPr>
      <w:r>
        <w:t>международное или республиканское объединение насчитывает не менее 300 членов либо заявленный объединением для финансирования проект (программа) предусматривает предоставление социальных услуг не менее чем для 300 детей и (или) молодых граждан;</w:t>
      </w:r>
    </w:p>
    <w:p w:rsidR="008040FB" w:rsidRDefault="008040FB">
      <w:pPr>
        <w:pStyle w:val="newncpi"/>
      </w:pPr>
      <w:r>
        <w:t>местное объединение насчитывает не менее 50 членов либо заявленный объединением для финансирования проект (программа) предусматривает предоставление социальных услуг не менее чем для 50 детей и (или) молодых граждан.</w:t>
      </w:r>
    </w:p>
    <w:p w:rsidR="008040FB" w:rsidRDefault="008040FB">
      <w:pPr>
        <w:pStyle w:val="newncpi"/>
      </w:pPr>
      <w:r>
        <w:t>Соответствие обращающегося за государственной поддержкой республиканского (международного) молодежного или детского объединения установленным настоящим Законом требованиям определяется республиканским органом государственного управления по делам молодежи.</w:t>
      </w:r>
    </w:p>
    <w:p w:rsidR="008040FB" w:rsidRDefault="008040FB">
      <w:pPr>
        <w:pStyle w:val="newncpi"/>
      </w:pPr>
      <w:r>
        <w:t>Соответствие обращающегося за государственной поддержкой местного молодежного или детского объединения установленным настоящим Законом требованиям определяется местными исполнительными и распорядительными органами.</w:t>
      </w:r>
    </w:p>
    <w:p w:rsidR="008040FB" w:rsidRDefault="008040FB">
      <w:pPr>
        <w:pStyle w:val="newncpi"/>
      </w:pPr>
      <w:r>
        <w:t>Объединение молодежного или детского объединения в ассоциацию (союз) с другими молодежными или детскими объединениями не может служить основанием для исключения его из числа субъектов государственной поддержки.</w:t>
      </w:r>
    </w:p>
    <w:p w:rsidR="008040FB" w:rsidRDefault="008040FB">
      <w:pPr>
        <w:pStyle w:val="article"/>
      </w:pPr>
      <w:r>
        <w:t>Статья 6. Право молодежных и детских объединений на участие в определении мер их государственной поддержки</w:t>
      </w:r>
    </w:p>
    <w:p w:rsidR="008040FB" w:rsidRDefault="008040FB">
      <w:pPr>
        <w:pStyle w:val="newncpi"/>
      </w:pPr>
      <w:r>
        <w:t>Республиканские органы государственного управления, местные исполнительные и распорядительные органы при разработке мер государственной поддержки молодежных и детских объединений учитывают их предложения.</w:t>
      </w:r>
    </w:p>
    <w:p w:rsidR="008040FB" w:rsidRDefault="008040FB">
      <w:pPr>
        <w:pStyle w:val="newncpi"/>
      </w:pPr>
      <w:r>
        <w:t>Молодежные и детские объединения имеют право в установленном порядке:</w:t>
      </w:r>
    </w:p>
    <w:p w:rsidR="008040FB" w:rsidRDefault="008040FB">
      <w:pPr>
        <w:pStyle w:val="newncpi"/>
      </w:pPr>
      <w:r>
        <w:t xml:space="preserve">готовить Президенту Республики Беларусь и Совету Министров Республики Беларусь доклады о положении детей и молодежи, по решению соответствующих органов </w:t>
      </w:r>
      <w:r>
        <w:lastRenderedPageBreak/>
        <w:t>участвовать в обсуждении докладов республиканских органов государственного управления, местных исполнительных и распорядительных органов по указанным вопросам, а также вносить предложения по реализации государственной молодежной политики;</w:t>
      </w:r>
    </w:p>
    <w:p w:rsidR="008040FB" w:rsidRDefault="008040FB">
      <w:pPr>
        <w:pStyle w:val="newncpi"/>
      </w:pPr>
      <w:r>
        <w:t>вносить субъектам права законодательной инициативы предложения о внесении изменений и дополнений в акты законодательства, затрагивающие интересы детей и молодежи;</w:t>
      </w:r>
    </w:p>
    <w:p w:rsidR="008040FB" w:rsidRDefault="008040FB">
      <w:pPr>
        <w:pStyle w:val="newncpi"/>
      </w:pPr>
      <w:r>
        <w:t>участвовать в подготовке и обсуждении проектов республиканских и местных программ в области государственной молодежной политики.</w:t>
      </w:r>
    </w:p>
    <w:p w:rsidR="008040FB" w:rsidRDefault="008040FB">
      <w:pPr>
        <w:pStyle w:val="newncpi"/>
      </w:pPr>
      <w:r>
        <w:t>По решению соответствующих государственных органов представители молодежных и детских объединений могут участвовать в заседаниях республиканских органов государственного управления, местных исполнительных и распорядительных органов при принятии решений по вопросам, затрагивающим интересы детей и молодежи.</w:t>
      </w:r>
    </w:p>
    <w:p w:rsidR="008040FB" w:rsidRDefault="008040FB">
      <w:pPr>
        <w:pStyle w:val="chapter"/>
      </w:pPr>
      <w:r>
        <w:t>ГЛАВА 2</w:t>
      </w:r>
      <w:r>
        <w:br/>
        <w:t>ОСНОВНЫЕ НАПРАВЛЕНИЯ И ФОРМЫ ГОСУДАРСТВЕННОЙ ПОДДЕРЖКИ МОЛОДЕЖНЫХ И ДЕТСКИХ ОБЪЕДИНЕНИЙ</w:t>
      </w:r>
    </w:p>
    <w:p w:rsidR="008040FB" w:rsidRDefault="008040FB">
      <w:pPr>
        <w:pStyle w:val="article"/>
      </w:pPr>
      <w:r>
        <w:t>Статья 7. Информационное обеспечение и подготовка кадров молодежных и детских объединений</w:t>
      </w:r>
    </w:p>
    <w:p w:rsidR="008040FB" w:rsidRDefault="008040FB">
      <w:pPr>
        <w:pStyle w:val="newncpi"/>
      </w:pPr>
      <w:r>
        <w:t>Молодежные и детские объединения имеют право на получение информации о мероприятиях в области государственной молодежной политики, планируемых и осуществляемых республиканскими органами государственного управления, местными исполнительными и распорядительными органами.</w:t>
      </w:r>
    </w:p>
    <w:p w:rsidR="008040FB" w:rsidRDefault="008040FB">
      <w:pPr>
        <w:pStyle w:val="newncpi"/>
      </w:pPr>
      <w:r>
        <w:t>Республиканские органы государственного управления, местные исполнительные и распорядительные органы содействуют молодежным и детским объединениям в распространении информации о деятельности таких объединений.</w:t>
      </w:r>
    </w:p>
    <w:p w:rsidR="008040FB" w:rsidRDefault="008040FB">
      <w:pPr>
        <w:pStyle w:val="newncpi"/>
      </w:pPr>
      <w:r>
        <w:t>По запросам молодежных и детских объединений республиканский орган государственного управления по делам молодежи организует подготовку и переподготовку кадров указанных объединений в пределах бюджетных ассигнований, выделяемых на эти цели.</w:t>
      </w:r>
    </w:p>
    <w:p w:rsidR="008040FB" w:rsidRDefault="008040FB">
      <w:pPr>
        <w:pStyle w:val="article"/>
      </w:pPr>
      <w:r>
        <w:t>Статья 8. Предоставление льгот молодежным и детским объединениям</w:t>
      </w:r>
    </w:p>
    <w:p w:rsidR="008040FB" w:rsidRDefault="008040FB">
      <w:pPr>
        <w:pStyle w:val="newncpi"/>
      </w:pPr>
      <w:r>
        <w:t>Молодежные и детские объединения, отвечающие требованиям статьи 5 настоящего Закона и включенные в соответствии со статьей 13 настоящего Закона в республиканский и местные реестры молодежных и детских объединений, пользующихся государственной поддержкой, могут на период своей деятельности получать в установленном законодательством порядке в пользование имущество, находящееся в государственной собственности, для осуществления своих уставных целей.</w:t>
      </w:r>
    </w:p>
    <w:p w:rsidR="008040FB" w:rsidRDefault="008040FB">
      <w:pPr>
        <w:pStyle w:val="newncpi"/>
      </w:pPr>
      <w:r>
        <w:t>Республиканские органы государственного управления, местные исполнительные и распорядительные органы могут в определяемом ими порядке устанавливать льготы молодежным и детским объединениям при пользовании ими имуществом, находящимся в распоряжении этих органов.</w:t>
      </w:r>
    </w:p>
    <w:p w:rsidR="008040FB" w:rsidRDefault="008040FB">
      <w:pPr>
        <w:pStyle w:val="newncpi"/>
      </w:pPr>
      <w:r>
        <w:t>Расходы государственных организаций, связанные с предоставлением на льготных условиях либо безвозмездно в пользование молодежным и детским объединениям зданий, помещений, сооружений, оборудования и иного имущества, могут возмещаться республиканскими органами государственного управления, местными исполнительными и распорядительными органами в пределах бюджетных ассигнований, выделяемых на государственную поддержку молодежных и детских объединений.</w:t>
      </w:r>
    </w:p>
    <w:p w:rsidR="008040FB" w:rsidRDefault="008040FB">
      <w:pPr>
        <w:pStyle w:val="article"/>
      </w:pPr>
      <w:r>
        <w:lastRenderedPageBreak/>
        <w:t>Статья 9. Выполнение государственного заказа молодежными и детскими объединениями</w:t>
      </w:r>
    </w:p>
    <w:p w:rsidR="008040FB" w:rsidRDefault="008040FB">
      <w:pPr>
        <w:pStyle w:val="newncpi"/>
      </w:pPr>
      <w:r>
        <w:t>Республиканские органы государственного управления, местные исполнительные и распорядительные органы могут привлекать молодежные и детские объединения к выполнению государственного заказа по реализации проекта (программы) в области молодежной политики.</w:t>
      </w:r>
    </w:p>
    <w:p w:rsidR="008040FB" w:rsidRDefault="008040FB">
      <w:pPr>
        <w:pStyle w:val="newncpi"/>
      </w:pPr>
      <w:r>
        <w:t>Государственный заказ выполняется на договорной основе. Республиканские органы государственного управления, местные исполнительные и распорядительные органы направляют предложения молодежным и детским объединениям для последующего ответа о принятии предложений.</w:t>
      </w:r>
    </w:p>
    <w:p w:rsidR="008040FB" w:rsidRDefault="008040FB">
      <w:pPr>
        <w:pStyle w:val="article"/>
      </w:pPr>
      <w:r>
        <w:t>Статья 10. Республиканские и местные программы государственной поддержки молодежных и детских объединений</w:t>
      </w:r>
    </w:p>
    <w:p w:rsidR="008040FB" w:rsidRDefault="008040FB">
      <w:pPr>
        <w:pStyle w:val="newncpi"/>
      </w:pPr>
      <w:r>
        <w:t>Меры государственной поддержки молодежных и детских объединений предусматриваются в разделах (подпрограммах) и пунктах республиканских и местных комплексных и целевых программ в области осуществления государственной молодежной политики, защиты детства и других социальных программ.</w:t>
      </w:r>
    </w:p>
    <w:p w:rsidR="008040FB" w:rsidRDefault="008040FB">
      <w:pPr>
        <w:pStyle w:val="newncpi"/>
      </w:pPr>
      <w:r>
        <w:t>Республиканские органы государственного управления, местные исполнительные и распорядительные органы, молодежные и детские объединения могут принимать совместные программы в области государственной молодежной политики, финансирование которых производится из средств, выделяемых на финансирование мероприятий в области государственной молодежной политики.</w:t>
      </w:r>
    </w:p>
    <w:p w:rsidR="008040FB" w:rsidRDefault="008040FB">
      <w:pPr>
        <w:pStyle w:val="article"/>
      </w:pPr>
      <w:r>
        <w:t>Статья 11. Государственная поддержка проектов (программ) молодежных и детских объединений</w:t>
      </w:r>
    </w:p>
    <w:p w:rsidR="008040FB" w:rsidRDefault="008040FB">
      <w:pPr>
        <w:pStyle w:val="newncpi"/>
      </w:pPr>
      <w:r>
        <w:t>Решения о государственной поддержке проектов (программ) молодежных и детских объединений принимаются республиканским органом государственного управления по делам молодежи, местными исполнительными и распорядительными органами по результатам конкурса указанных проектов (программ).</w:t>
      </w:r>
    </w:p>
    <w:p w:rsidR="008040FB" w:rsidRDefault="008040FB">
      <w:pPr>
        <w:pStyle w:val="newncpi"/>
      </w:pPr>
      <w:r>
        <w:t>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 w:rsidR="008040FB" w:rsidRDefault="008040FB">
      <w:pPr>
        <w:pStyle w:val="newncpi"/>
      </w:pPr>
      <w:r>
        <w:t>Республиканский орган государственного управления по делам молодежи, местные исполнительные и распорядительные органы при условии соответствия конкурсного проекта (программы) молодежного или детского объединения требованиям настоящего Закона определяют объем средств для его финансирования (субсидирования) в срок, не превышающий, как правило, трех месяцев со дня принятия положительного решения по данному проекту (программе), либо очередность предоставления необходимых средств.</w:t>
      </w:r>
    </w:p>
    <w:p w:rsidR="008040FB" w:rsidRDefault="008040FB">
      <w:pPr>
        <w:pStyle w:val="newncpi"/>
      </w:pPr>
      <w:r>
        <w:t>Финансирование (субсидирование) проектов (программ) молодежных и детских объединений производится за счет средств республиканского и местных бюджетов в форме бюджетных ассигнований в пределах плановых ассигнований, предусмотренных на финансирование (субсидирование) мероприятий в области государственной молодежной политики, а также за счет средств государственных внебюджетных фондов Республики Беларусь. Республиканским органом государственного управления по делам молодежи устанавливается целевой порядок использования указанных средств.</w:t>
      </w:r>
    </w:p>
    <w:p w:rsidR="008040FB" w:rsidRDefault="008040FB">
      <w:pPr>
        <w:pStyle w:val="newncpi"/>
      </w:pPr>
      <w:r>
        <w:t>Расходы на финансирование (субсидирование) проектов (программ) молодежных и детских объединений из средств республиканского и местных бюджетов и государственных внебюджетных фондов Республики Беларусь не должны, как правило, превышать половины общей суммы расходов.</w:t>
      </w:r>
    </w:p>
    <w:p w:rsidR="008040FB" w:rsidRDefault="008040FB">
      <w:pPr>
        <w:pStyle w:val="newncpi"/>
      </w:pPr>
      <w:r>
        <w:lastRenderedPageBreak/>
        <w:t>Получившие одобрение конкурсные проекты (программы) молодежных и детских объединений могут финансироваться (субсидироваться) в полном объеме, если республиканским органом государственного управления по делам молодежи, местным исполнительным и распорядительным органом признано, что привлечение иных финансовых средств невозможно.</w:t>
      </w:r>
    </w:p>
    <w:p w:rsidR="008040FB" w:rsidRDefault="008040FB">
      <w:pPr>
        <w:pStyle w:val="newncpi"/>
      </w:pPr>
      <w:r>
        <w:t>Решения об объемах финансирования (субсидирования) получивших одобрение конкурсных проектов (программ) молодежных и детских объединений принимаются при формировании и утверждении республиканского и местных бюджетов в установленном порядке.</w:t>
      </w:r>
    </w:p>
    <w:p w:rsidR="008040FB" w:rsidRDefault="008040FB">
      <w:pPr>
        <w:pStyle w:val="article"/>
      </w:pPr>
      <w:r>
        <w:t>Статья 12. Выделение субсидий молодежным и детским объединениям</w:t>
      </w:r>
    </w:p>
    <w:p w:rsidR="008040FB" w:rsidRDefault="008040FB">
      <w:pPr>
        <w:pStyle w:val="newncpi"/>
      </w:pPr>
      <w:r>
        <w:t>Выделение субсидий молодежным и детским объединениям, отвечающим требованиям статьи 5 настоящего Закона и включенным в соответствии со статьей 13 настоящего Закона в республиканский и местные реестры молодежных и детских объединений, пользующихся государственной поддержкой, производится с учетом итогов деятельности объединений и приоритетности планируемых для реализации проектов (программ).</w:t>
      </w:r>
    </w:p>
    <w:p w:rsidR="008040FB" w:rsidRDefault="008040FB">
      <w:pPr>
        <w:pStyle w:val="newncpi"/>
      </w:pPr>
      <w:r>
        <w:t>Объем средств на субсидии молодежным и детским объединениям устанавливается республиканским органом государственного управления по делам молодежи, местным исполнительным и распорядительным органом в пределах бюджетных ассигнований, выделяемых на мероприятия в области государственной молодежной политики. Указанные средства включаются в смету расходов республиканского органа государственного управления по делам молодежи, местных исполнительных и распорядительных органов для распределения между молодежными и детскими объединениями, которым выделяются субсидии.</w:t>
      </w:r>
    </w:p>
    <w:p w:rsidR="008040FB" w:rsidRDefault="008040FB">
      <w:pPr>
        <w:pStyle w:val="newncpi"/>
      </w:pPr>
      <w:r>
        <w:t>Республиканский орган государственного управления по делам молодежи, местные исполнительные и распорядительные органы несут ответственность за правомерность выделения субсидий молодежным и детским объединениям, осуществляют контроль за целевым использованием выделяемых средств.</w:t>
      </w:r>
    </w:p>
    <w:p w:rsidR="008040FB" w:rsidRDefault="008040FB">
      <w:pPr>
        <w:pStyle w:val="newncpi"/>
      </w:pPr>
      <w:r>
        <w:t>Субсидии выделяются молодежным и детским объединениям на:</w:t>
      </w:r>
    </w:p>
    <w:p w:rsidR="008040FB" w:rsidRDefault="008040FB">
      <w:pPr>
        <w:pStyle w:val="newncpi"/>
      </w:pPr>
      <w:r>
        <w:t>осуществление деятельности, направленной на удовлетворение духовных и иных нематериальных потребностей детей и молодежи, защиту их прав и свобод, а также предотвращение угрозы их здоровью;</w:t>
      </w:r>
    </w:p>
    <w:p w:rsidR="008040FB" w:rsidRDefault="008040FB">
      <w:pPr>
        <w:pStyle w:val="newncpi"/>
      </w:pPr>
      <w:r>
        <w:t>осуществление деятельности, направленной на интеграцию в обществе, духовно-нравственное и патриотическое воспитание, профессиональную подготовку, повышение уровня образования, культуры наиболее социально уязвимых групп детей и молодежи;</w:t>
      </w:r>
    </w:p>
    <w:p w:rsidR="008040FB" w:rsidRDefault="008040FB">
      <w:pPr>
        <w:pStyle w:val="newncpi"/>
      </w:pPr>
      <w:r>
        <w:t>проведение мероприятий по организации досуга детей и молодежи;</w:t>
      </w:r>
    </w:p>
    <w:p w:rsidR="008040FB" w:rsidRDefault="008040FB">
      <w:pPr>
        <w:pStyle w:val="newncpi"/>
      </w:pPr>
      <w:r>
        <w:t>подготовку и переподготовку кадров молодежных и детских объединений;</w:t>
      </w:r>
    </w:p>
    <w:p w:rsidR="008040FB" w:rsidRDefault="008040FB">
      <w:pPr>
        <w:pStyle w:val="newncpi"/>
      </w:pPr>
      <w:r>
        <w:t>обеспечение функционирования органов молодежных и детских объединений, содержание помещений, приобретение оборудования, материалов;</w:t>
      </w:r>
    </w:p>
    <w:p w:rsidR="008040FB" w:rsidRDefault="008040FB">
      <w:pPr>
        <w:pStyle w:val="newncpi"/>
      </w:pPr>
      <w:r>
        <w:t>развитие международных связей молодежных и детских объединений;</w:t>
      </w:r>
    </w:p>
    <w:p w:rsidR="008040FB" w:rsidRDefault="008040FB">
      <w:pPr>
        <w:pStyle w:val="newncpi"/>
      </w:pPr>
      <w:r>
        <w:t>другие цели в соответствии с направлениями государственной молодежной политики.</w:t>
      </w:r>
    </w:p>
    <w:p w:rsidR="008040FB" w:rsidRDefault="008040FB">
      <w:pPr>
        <w:pStyle w:val="newncpi"/>
      </w:pPr>
      <w:r>
        <w:t>Субсидии, выделяемые на государственную поддержку молодежных и детских объединений, указываются в республиканском и местных бюджетах отдельной строкой в разделе финансирования мероприятий в области государственной молодежной политики.</w:t>
      </w:r>
    </w:p>
    <w:p w:rsidR="008040FB" w:rsidRDefault="008040FB">
      <w:pPr>
        <w:pStyle w:val="chapter"/>
      </w:pPr>
      <w:r>
        <w:t>ГЛАВА 3</w:t>
      </w:r>
      <w:r>
        <w:br/>
        <w:t>ОРГАНИЗАЦИОННЫЕ ОСНОВЫ ГОСУДАРСТВЕННОЙ ПОДДЕРЖКИ МОЛОДЕЖНЫХ И ДЕТСКИХ ОБЪЕДИНЕНИЙ</w:t>
      </w:r>
    </w:p>
    <w:p w:rsidR="008040FB" w:rsidRDefault="008040FB">
      <w:pPr>
        <w:pStyle w:val="article"/>
      </w:pPr>
      <w:r>
        <w:t>Статья 13. Республиканский и местные реестры молодежных и детских объединений, пользующихся государственной поддержкой</w:t>
      </w:r>
    </w:p>
    <w:p w:rsidR="008040FB" w:rsidRDefault="008040FB">
      <w:pPr>
        <w:pStyle w:val="newncpi"/>
      </w:pPr>
      <w:r>
        <w:lastRenderedPageBreak/>
        <w:t>Республиканский орган государственного управления по делам молодежи, местные исполнительные и распорядительные органы формируют в определяемом ими порядке соответственно республиканский и местные реестры молодежных и детских объединений, пользующихся государственной поддержкой.</w:t>
      </w:r>
    </w:p>
    <w:p w:rsidR="008040FB" w:rsidRDefault="008040FB">
      <w:pPr>
        <w:pStyle w:val="newncpi"/>
      </w:pPr>
      <w:r>
        <w:t>Включение молодежных и детских объединений в указанные в части первой настоящей статьи реестры осуществляется бесплатно в течение месяца со дня представления ими письменного заявления и документов, подтверждающих соответствие объединений требованиям статьи 5 настоящего Закона.</w:t>
      </w:r>
    </w:p>
    <w:p w:rsidR="008040FB" w:rsidRDefault="008040FB">
      <w:pPr>
        <w:pStyle w:val="newncpi"/>
      </w:pPr>
      <w:r>
        <w:t>Молодежное или детское объединение, внесенное в республиканский или местный реестр молодежных и детских объединений, пользующихся государственной поддержкой, вправе заявить о своем исключении из него.</w:t>
      </w:r>
    </w:p>
    <w:p w:rsidR="008040FB" w:rsidRDefault="008040FB">
      <w:pPr>
        <w:pStyle w:val="newncpi"/>
      </w:pPr>
      <w:r>
        <w:t>В случае непредставления в республиканский орган государственного управления по делам молодежи или местный исполнительный и распорядительный орган молодежным или детским объединением, получившим средства в соответствии со статьями 11 и 12 настоящего Закона, финансового отчета об использовании этих средств, а также в случаях нецелевого использования выделенных средств или иного нарушения финансовой дисциплины данное молодежное или детское объединение может быть исключено из республиканского или местного реестра молодежных и детских объединений, пользующихся государственной поддержкой.</w:t>
      </w:r>
    </w:p>
    <w:p w:rsidR="008040FB" w:rsidRDefault="008040FB">
      <w:pPr>
        <w:pStyle w:val="article"/>
      </w:pPr>
      <w:r>
        <w:t>Статья 14. Ответственность за нарушение настоящего Закона</w:t>
      </w:r>
    </w:p>
    <w:p w:rsidR="008040FB" w:rsidRDefault="008040FB">
      <w:pPr>
        <w:pStyle w:val="newncpi"/>
      </w:pPr>
      <w:r>
        <w:t>Лица, виновные в нарушении настоящего Закона, несут ответственность в соответствии с законодательством Республики Беларусь.</w:t>
      </w:r>
    </w:p>
    <w:p w:rsidR="008040FB" w:rsidRDefault="008040FB">
      <w:pPr>
        <w:pStyle w:val="chapter"/>
      </w:pPr>
      <w:r>
        <w:t>ГЛАВА 4</w:t>
      </w:r>
      <w:r>
        <w:br/>
        <w:t>ЗАКЛЮЧИТЕЛЬНЫЕ ПОЛОЖЕНИЯ</w:t>
      </w:r>
    </w:p>
    <w:p w:rsidR="008040FB" w:rsidRDefault="008040FB">
      <w:pPr>
        <w:pStyle w:val="article"/>
      </w:pPr>
      <w:r>
        <w:t>Статья 15. Вступление в силу настоящего Закона</w:t>
      </w:r>
    </w:p>
    <w:p w:rsidR="008040FB" w:rsidRDefault="008040FB">
      <w:pPr>
        <w:pStyle w:val="newncpi"/>
      </w:pPr>
      <w:r>
        <w:t>Настоящий Закон вступает в силу со дня его опубликования.</w:t>
      </w:r>
    </w:p>
    <w:p w:rsidR="008040FB" w:rsidRDefault="008040FB">
      <w:pPr>
        <w:pStyle w:val="article"/>
      </w:pPr>
      <w:r>
        <w:t>Статья 16. Приведение законодательства Республики Беларусь в соответствие с настоящим Законом</w:t>
      </w:r>
    </w:p>
    <w:p w:rsidR="008040FB" w:rsidRDefault="008040FB">
      <w:pPr>
        <w:pStyle w:val="newncpi"/>
      </w:pPr>
      <w:r>
        <w:t>Совету Министров Республики Беларусь в течение трех месяцев со дня вступления в силу настоящего Закона:</w:t>
      </w:r>
    </w:p>
    <w:p w:rsidR="008040FB" w:rsidRDefault="008040FB">
      <w:pPr>
        <w:pStyle w:val="newncpi"/>
      </w:pPr>
      <w:r>
        <w:t>обеспечить приведение законодательства Республики Беларусь в соответствие с настоящим Законом;</w:t>
      </w:r>
    </w:p>
    <w:p w:rsidR="008040FB" w:rsidRDefault="008040FB">
      <w:pPr>
        <w:pStyle w:val="newncpi"/>
      </w:pPr>
      <w:r>
        <w:t>принять иные меры, необходимые для реализации настоящего Закона.</w:t>
      </w:r>
    </w:p>
    <w:p w:rsidR="008040FB" w:rsidRDefault="008040F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8040F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40FB" w:rsidRDefault="008040FB">
            <w:pPr>
              <w:pStyle w:val="newncpi0"/>
              <w:jc w:val="left"/>
            </w:pPr>
            <w:r>
              <w:rPr>
                <w:rStyle w:val="post"/>
              </w:rPr>
              <w:t xml:space="preserve">Президент Республики Беларусь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40FB" w:rsidRDefault="008040FB">
            <w:pPr>
              <w:pStyle w:val="newncpi0"/>
              <w:jc w:val="right"/>
            </w:pPr>
            <w:r>
              <w:rPr>
                <w:rStyle w:val="pers"/>
              </w:rPr>
              <w:t xml:space="preserve">А.Лукашенко </w:t>
            </w:r>
          </w:p>
        </w:tc>
      </w:tr>
    </w:tbl>
    <w:p w:rsidR="008040FB" w:rsidRDefault="008040FB">
      <w:pPr>
        <w:pStyle w:val="newncpi0"/>
      </w:pPr>
      <w:r>
        <w:t> </w:t>
      </w:r>
    </w:p>
    <w:p w:rsidR="007271DB" w:rsidRDefault="007271DB"/>
    <w:sectPr w:rsidR="007271DB" w:rsidSect="008040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4A" w:rsidRDefault="00FC614A" w:rsidP="008040FB">
      <w:pPr>
        <w:spacing w:after="0" w:line="240" w:lineRule="auto"/>
      </w:pPr>
      <w:r>
        <w:separator/>
      </w:r>
    </w:p>
  </w:endnote>
  <w:endnote w:type="continuationSeparator" w:id="0">
    <w:p w:rsidR="00FC614A" w:rsidRDefault="00FC614A" w:rsidP="0080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FB" w:rsidRDefault="008040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FB" w:rsidRDefault="008040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0"/>
    </w:tblGrid>
    <w:tr w:rsidR="008040FB" w:rsidTr="008040FB">
      <w:tc>
        <w:tcPr>
          <w:tcW w:w="1800" w:type="dxa"/>
          <w:shd w:val="clear" w:color="auto" w:fill="auto"/>
          <w:vAlign w:val="center"/>
        </w:tcPr>
        <w:p w:rsidR="008040FB" w:rsidRDefault="008040F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6" w:type="dxa"/>
          <w:shd w:val="clear" w:color="auto" w:fill="auto"/>
          <w:vAlign w:val="center"/>
        </w:tcPr>
        <w:p w:rsidR="008040FB" w:rsidRDefault="008040F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040FB" w:rsidRDefault="008040F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11.01.2021</w:t>
          </w:r>
        </w:p>
        <w:p w:rsidR="008040FB" w:rsidRPr="008040FB" w:rsidRDefault="008040F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040FB" w:rsidRDefault="008040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4A" w:rsidRDefault="00FC614A" w:rsidP="008040FB">
      <w:pPr>
        <w:spacing w:after="0" w:line="240" w:lineRule="auto"/>
      </w:pPr>
      <w:r>
        <w:separator/>
      </w:r>
    </w:p>
  </w:footnote>
  <w:footnote w:type="continuationSeparator" w:id="0">
    <w:p w:rsidR="00FC614A" w:rsidRDefault="00FC614A" w:rsidP="0080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FB" w:rsidRDefault="008040FB" w:rsidP="00A52DD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8040FB" w:rsidRDefault="008040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FB" w:rsidRPr="008040FB" w:rsidRDefault="008040FB" w:rsidP="00A52DD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040FB">
      <w:rPr>
        <w:rStyle w:val="a7"/>
        <w:rFonts w:ascii="Times New Roman" w:hAnsi="Times New Roman" w:cs="Times New Roman"/>
        <w:sz w:val="24"/>
      </w:rPr>
      <w:fldChar w:fldCharType="begin"/>
    </w:r>
    <w:r w:rsidRPr="008040FB">
      <w:rPr>
        <w:rStyle w:val="a7"/>
        <w:rFonts w:ascii="Times New Roman" w:hAnsi="Times New Roman" w:cs="Times New Roman"/>
        <w:sz w:val="24"/>
      </w:rPr>
      <w:instrText xml:space="preserve"> PAGE </w:instrText>
    </w:r>
    <w:r w:rsidRPr="008040F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8040FB">
      <w:rPr>
        <w:rStyle w:val="a7"/>
        <w:rFonts w:ascii="Times New Roman" w:hAnsi="Times New Roman" w:cs="Times New Roman"/>
        <w:sz w:val="24"/>
      </w:rPr>
      <w:fldChar w:fldCharType="end"/>
    </w:r>
  </w:p>
  <w:p w:rsidR="008040FB" w:rsidRPr="008040FB" w:rsidRDefault="008040F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FB" w:rsidRDefault="008040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FB"/>
    <w:rsid w:val="007271DB"/>
    <w:rsid w:val="008040FB"/>
    <w:rsid w:val="00F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C42FA-D56A-4A4B-9749-2036AEC8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8040F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040F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8040F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8040FB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newncpi">
    <w:name w:val="newncpi"/>
    <w:basedOn w:val="a"/>
    <w:rsid w:val="008040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40F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040F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040F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040F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040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040F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04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0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0FB"/>
  </w:style>
  <w:style w:type="paragraph" w:styleId="a5">
    <w:name w:val="footer"/>
    <w:basedOn w:val="a"/>
    <w:link w:val="a6"/>
    <w:uiPriority w:val="99"/>
    <w:unhideWhenUsed/>
    <w:rsid w:val="0080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0FB"/>
  </w:style>
  <w:style w:type="character" w:styleId="a7">
    <w:name w:val="page number"/>
    <w:basedOn w:val="a0"/>
    <w:uiPriority w:val="99"/>
    <w:semiHidden/>
    <w:unhideWhenUsed/>
    <w:rsid w:val="008040FB"/>
  </w:style>
  <w:style w:type="table" w:styleId="a8">
    <w:name w:val="Table Grid"/>
    <w:basedOn w:val="a1"/>
    <w:uiPriority w:val="39"/>
    <w:rsid w:val="0080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1926</Words>
  <Characters>15107</Characters>
  <Application>Microsoft Office Word</Application>
  <DocSecurity>0</DocSecurity>
  <Lines>274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Сергеевич Дейкало</dc:creator>
  <cp:keywords/>
  <dc:description/>
  <cp:lastModifiedBy>Сергей Сергеевич Дейкало</cp:lastModifiedBy>
  <cp:revision>1</cp:revision>
  <dcterms:created xsi:type="dcterms:W3CDTF">2021-01-11T07:38:00Z</dcterms:created>
  <dcterms:modified xsi:type="dcterms:W3CDTF">2021-01-11T07:38:00Z</dcterms:modified>
</cp:coreProperties>
</file>